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C4" w:rsidRDefault="003260C4" w:rsidP="0032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409B">
        <w:rPr>
          <w:rFonts w:ascii="Times New Roman" w:hAnsi="Times New Roman" w:cs="Times New Roman"/>
          <w:b/>
          <w:sz w:val="24"/>
          <w:szCs w:val="24"/>
        </w:rPr>
        <w:t>В настоящее время реализуются следующие инвестиционные проекты</w:t>
      </w:r>
      <w:r w:rsidRPr="0020409B">
        <w:rPr>
          <w:rFonts w:ascii="Times New Roman" w:hAnsi="Times New Roman" w:cs="Times New Roman"/>
          <w:sz w:val="24"/>
          <w:szCs w:val="24"/>
        </w:rPr>
        <w:t>:</w:t>
      </w:r>
    </w:p>
    <w:p w:rsidR="007C5DB9" w:rsidRDefault="007C5DB9" w:rsidP="0032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126"/>
        <w:gridCol w:w="3317"/>
        <w:gridCol w:w="2035"/>
      </w:tblGrid>
      <w:tr w:rsidR="007C5DB9" w:rsidRPr="007C5DB9" w:rsidTr="007C5DB9">
        <w:trPr>
          <w:trHeight w:val="293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инвестиционного проекта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</w:tr>
      <w:tr w:rsidR="007C5DB9" w:rsidRPr="007C5DB9" w:rsidTr="007C5DB9">
        <w:trPr>
          <w:trHeight w:val="30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5DB9" w:rsidRPr="007C5DB9" w:rsidTr="007C5DB9">
        <w:trPr>
          <w:trHeight w:val="3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Хиагда</w:t>
            </w:r>
            <w:proofErr w:type="spell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производственного комплекса и развитие </w:t>
            </w:r>
            <w:proofErr w:type="spell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местороженияХиагдинского</w:t>
            </w:r>
            <w:proofErr w:type="spell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рудного поля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2015-2025</w:t>
            </w:r>
          </w:p>
        </w:tc>
      </w:tr>
      <w:tr w:rsidR="007C5DB9" w:rsidRPr="007C5DB9" w:rsidTr="007C5DB9">
        <w:trPr>
          <w:trHeight w:val="2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T</w:t>
            </w:r>
            <w:proofErr w:type="gram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 «Восточные ворота»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деревообрабатывающего цеха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2018-2027</w:t>
            </w:r>
          </w:p>
        </w:tc>
      </w:tr>
      <w:tr w:rsidR="007C5DB9" w:rsidRPr="007C5DB9" w:rsidTr="007C5DB9">
        <w:trPr>
          <w:trHeight w:val="2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Почекунин Б.Н.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цеха по лесопереработке </w:t>
            </w:r>
            <w:proofErr w:type="gram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Романовка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2018-2025</w:t>
            </w:r>
          </w:p>
        </w:tc>
      </w:tr>
      <w:tr w:rsidR="007C5DB9" w:rsidRPr="007C5DB9" w:rsidTr="007C5DB9">
        <w:trPr>
          <w:trHeight w:val="2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"Кардинал"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центр с универсальным игровым залом </w:t>
            </w:r>
            <w:proofErr w:type="gram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Багдарин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2018-2025</w:t>
            </w:r>
          </w:p>
        </w:tc>
      </w:tr>
      <w:tr w:rsidR="007C5DB9" w:rsidRPr="007C5DB9" w:rsidTr="007C5DB9">
        <w:trPr>
          <w:trHeight w:val="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Ф)Х </w:t>
            </w:r>
            <w:proofErr w:type="spell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Кокин</w:t>
            </w:r>
            <w:proofErr w:type="spell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безотходного скотоводства с производством органического биогумуса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2014-2024</w:t>
            </w:r>
          </w:p>
        </w:tc>
      </w:tr>
      <w:tr w:rsidR="007C5DB9" w:rsidRPr="007C5DB9" w:rsidTr="007C5DB9">
        <w:trPr>
          <w:trHeight w:val="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Ф)Х </w:t>
            </w:r>
            <w:proofErr w:type="spell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Мутуев</w:t>
            </w:r>
            <w:proofErr w:type="spell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А.Ч.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мясного животноводства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2015-2024</w:t>
            </w:r>
          </w:p>
        </w:tc>
      </w:tr>
      <w:tr w:rsidR="007C5DB9" w:rsidRPr="007C5DB9" w:rsidTr="007C5DB9">
        <w:trPr>
          <w:trHeight w:val="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Ф)Х Никулин Ю.М.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молочно-товарной фермы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2015-2024</w:t>
            </w:r>
          </w:p>
        </w:tc>
      </w:tr>
      <w:tr w:rsidR="007C5DB9" w:rsidRPr="007C5DB9" w:rsidTr="007C5DB9">
        <w:trPr>
          <w:trHeight w:val="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Ф)Х </w:t>
            </w:r>
            <w:proofErr w:type="spell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Гатапов</w:t>
            </w:r>
            <w:proofErr w:type="spell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Д.Х.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КРС мясного направления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2017-2023</w:t>
            </w:r>
          </w:p>
        </w:tc>
      </w:tr>
      <w:tr w:rsidR="007C5DB9" w:rsidRPr="007C5DB9" w:rsidTr="007C5DB9">
        <w:trPr>
          <w:trHeight w:val="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Забайкальское горнорудное предприятие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месторождений по добыче нефрита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7C5DB9" w:rsidRPr="007C5DB9" w:rsidTr="007C5DB9">
        <w:trPr>
          <w:trHeight w:val="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 Рудное "</w:t>
            </w:r>
          </w:p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горн</w:t>
            </w:r>
            <w:proofErr w:type="gramStart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перерабатывающего комплекса по отработке запасов участка «Рудная горка» золоторудного месторождения Троицкое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</w:tr>
      <w:tr w:rsidR="007C5DB9" w:rsidRPr="007C5DB9" w:rsidTr="007C5DB9">
        <w:trPr>
          <w:trHeight w:val="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B9" w:rsidRPr="007C5DB9" w:rsidRDefault="007C5DB9" w:rsidP="007C5D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5DB9" w:rsidRDefault="007C5DB9" w:rsidP="0032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09B" w:rsidRPr="0020409B" w:rsidRDefault="0020409B" w:rsidP="0020409B">
      <w:pPr>
        <w:pStyle w:val="Standard"/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409B">
        <w:rPr>
          <w:rFonts w:ascii="Times New Roman" w:hAnsi="Times New Roman" w:cs="Times New Roman"/>
          <w:sz w:val="24"/>
          <w:szCs w:val="24"/>
        </w:rPr>
        <w:t>Инвестиционная политика района направлена, прежде всего, на привлечение инвестиций  в реальный сектор экономики.  Целью инвестиционной политики является, обеспечение притока инвестиций для  сохранения, и приумножения качественных параметров экономики,   формирования эффективного и динамично развивающегося промышленного производства. Одна из приоритетных задач инвестиционной политики - это создание благоприятных условий для инвесторов.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Объем инвестиций в основной капитал за счет всех источников финансирования, включая субъекты малого предпринимательства  за 2022 год, составил 4471,84 млн. руб.  или 114,41 % к аналогичному периоду  2021 года, инвестиции увеличились в связи с тем, что собраны данные со следующих организаций: ООО «Закаменс</w:t>
      </w:r>
      <w:proofErr w:type="gramStart"/>
      <w:r w:rsidRPr="0020409B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 Лес», ООО «Рудное», ООО «Андреевский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кочей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», АО ЗГРП.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lastRenderedPageBreak/>
        <w:t>Доля бюджетных инвестиций в общем объеме составила 47,168 млн.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09B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Структура инвестиций по видам экономической деятельности  по сравнению с 2021 годом не изменилась: основную долю в структуре инвестиций по видам экономической деятельности  занимают инвестиции по добыче полезных ископаемых, направленные  на  разработку  урановых месторождений АО «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Хиагда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Информация о  реализации инвестиционного проекта АО «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Хиагда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Фактическое количество занятых рабочих мест по проекту составило 541 человек, что ниже уровня бизнес-плана на 55 человек.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proofErr w:type="gramStart"/>
      <w:r w:rsidRPr="0020409B">
        <w:rPr>
          <w:rFonts w:ascii="Times New Roman" w:eastAsia="Calibri" w:hAnsi="Times New Roman" w:cs="Times New Roman"/>
          <w:sz w:val="24"/>
          <w:szCs w:val="24"/>
        </w:rPr>
        <w:t>Размер среднемесячной заработной платы 2022 г составил 106 тыс. руб. при запланированной 73 тыс. руб. Рост заработной платы связан с пересмотром окладов в 2019,2021 и 2022 годах производственному персоналу.</w:t>
      </w:r>
      <w:proofErr w:type="gramEnd"/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За 2022 год инвестиционная программа АО «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Хиагда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» профинансирована на 5758 млн. руб. в том числе по проектам: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Месторождение «Вершинное» – 979,3 млн. руб.;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- «Инфраструктура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Хиагдинского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 предприятия»– 597,4 млн. руб.;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Месторождение «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Источное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» - 19 млн. руб.;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Месторождение «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Хиагдинское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» - 72,9 млн. руб.;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Месторождение «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Количиканское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» - 2971,8 млн. руб.;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Месторождение «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Добрынское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» - 1048,8 млн. руб.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Основной объем горно-капитальных работ направлен на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месторождени</w:t>
      </w:r>
      <w:proofErr w:type="gramStart"/>
      <w:r w:rsidRPr="0020409B">
        <w:rPr>
          <w:rFonts w:ascii="Times New Roman" w:eastAsia="Calibri" w:hAnsi="Times New Roman" w:cs="Times New Roman"/>
          <w:sz w:val="24"/>
          <w:szCs w:val="24"/>
        </w:rPr>
        <w:t>е«</w:t>
      </w:r>
      <w:proofErr w:type="gramEnd"/>
      <w:r w:rsidRPr="0020409B">
        <w:rPr>
          <w:rFonts w:ascii="Times New Roman" w:eastAsia="Calibri" w:hAnsi="Times New Roman" w:cs="Times New Roman"/>
          <w:sz w:val="24"/>
          <w:szCs w:val="24"/>
        </w:rPr>
        <w:t>Количиканское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».  Структура финансирования месторождения за 2022 год выглядит следующим образом:</w:t>
      </w:r>
    </w:p>
    <w:p w:rsidR="0020409B" w:rsidRPr="0020409B" w:rsidRDefault="0020409B" w:rsidP="0020409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Горно-капитальные работы – 2596 млн. руб.</w:t>
      </w:r>
    </w:p>
    <w:p w:rsidR="0020409B" w:rsidRPr="0020409B" w:rsidRDefault="0020409B" w:rsidP="0020409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Затраты связанные с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закислением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 – 309 млн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0409B">
        <w:rPr>
          <w:rFonts w:ascii="Times New Roman" w:eastAsia="Calibri" w:hAnsi="Times New Roman" w:cs="Times New Roman"/>
          <w:sz w:val="24"/>
          <w:szCs w:val="24"/>
        </w:rPr>
        <w:t>руб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3.</w:t>
      </w:r>
      <w:r w:rsidRPr="0020409B">
        <w:rPr>
          <w:rFonts w:ascii="Times New Roman" w:eastAsia="Calibri" w:hAnsi="Times New Roman" w:cs="Times New Roman"/>
          <w:sz w:val="24"/>
          <w:szCs w:val="24"/>
        </w:rPr>
        <w:tab/>
        <w:t>Прочие- 67 млн. руб.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Проект «Инфраструктура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Хиагдинского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 предприятия» направлен на обеспечение бесперебойного функционирования предприятия. За 2022 год, в рамках данного проекта профинансированы следующие объекты: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Оборудование вне смет проектов – 123,2 млн. руб.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Прирельсовая база – 60,2 млн. руб.;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Ремонтно-складское хозяйство – 14,6 млн. руб.;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Площадка цеха производства серной кислоты – 5 млн. руб.;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Площадка основного производства – 48,6 млн. руб.;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- Прочие объекты – 253,9 млн. руб.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Увеличение объема инвестиций в 2022 году обусловлено сдвигом работ по м.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Количиканское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 с 2019 г в результате попадания особо защитных лесных участков в границы отводов на данных месторождениях, на которых строительство запрещено.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В первом полугодии 2023 году планируется ввести в эксплуатацию залежь X1.Так же  в 2023 году планируется ввод ЛСУ, 2 и 3 этапа на Вершинном месторождении, модернизация сернокислотного завода.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В 2024 году планируется расширить вахтовый поселок ввести в эксплуатацию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Автогараж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уехе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 ПВ, Бытовой корпус, ПС 110/10кВ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Хиагда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09B">
        <w:rPr>
          <w:rFonts w:ascii="Times New Roman" w:eastAsia="Calibri" w:hAnsi="Times New Roman" w:cs="Times New Roman"/>
          <w:sz w:val="24"/>
          <w:szCs w:val="24"/>
        </w:rPr>
        <w:t>площадку РСХ.</w:t>
      </w:r>
    </w:p>
    <w:p w:rsid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В 2025 году планируется ввод ЛСУ и первого этапа месторождения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Дыбрынское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Инвестиции в основной капитал золотодобывающих предприятий за 2022 год составили 640,578 млн. руб. от общего объема инвестиции, что больше показателя за </w:t>
      </w:r>
      <w:r w:rsidRPr="002040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аналогичный период 2021 года на 196,01 млн. руб.  Обновление основных средств в 2022 году,  произошло на следующих золотодобывающих предприятиях:  </w:t>
      </w:r>
      <w:proofErr w:type="gramStart"/>
      <w:r w:rsidRPr="0020409B">
        <w:rPr>
          <w:rFonts w:ascii="Times New Roman" w:eastAsia="Calibri" w:hAnsi="Times New Roman" w:cs="Times New Roman"/>
          <w:sz w:val="24"/>
          <w:szCs w:val="24"/>
        </w:rPr>
        <w:t>ООО «Рудное», ООО «Север», ЗАО «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Витимгеопром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», ООО «Закаменск-Лес», ООО «Кардинал», ООО «Андреевский 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кочей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», ООО "</w:t>
      </w:r>
      <w:proofErr w:type="spellStart"/>
      <w:r w:rsidRPr="0020409B">
        <w:rPr>
          <w:rFonts w:ascii="Times New Roman" w:eastAsia="Calibri" w:hAnsi="Times New Roman" w:cs="Times New Roman"/>
          <w:sz w:val="24"/>
          <w:szCs w:val="24"/>
        </w:rPr>
        <w:t>Витимкан</w:t>
      </w:r>
      <w:proofErr w:type="spellEnd"/>
      <w:r w:rsidRPr="0020409B">
        <w:rPr>
          <w:rFonts w:ascii="Times New Roman" w:eastAsia="Calibri" w:hAnsi="Times New Roman" w:cs="Times New Roman"/>
          <w:sz w:val="24"/>
          <w:szCs w:val="24"/>
        </w:rPr>
        <w:t>".</w:t>
      </w:r>
      <w:proofErr w:type="gramEnd"/>
      <w:r w:rsidRPr="0020409B">
        <w:rPr>
          <w:rFonts w:ascii="Times New Roman" w:eastAsia="Calibri" w:hAnsi="Times New Roman" w:cs="Times New Roman"/>
          <w:sz w:val="24"/>
          <w:szCs w:val="24"/>
        </w:rPr>
        <w:t xml:space="preserve"> Инвестиционные средства золотодобывающих организаций были направлены на приобретение техники и оборудования.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Инвестиц</w:t>
      </w:r>
      <w:proofErr w:type="gramStart"/>
      <w:r w:rsidRPr="0020409B">
        <w:rPr>
          <w:rFonts w:ascii="Times New Roman" w:eastAsia="Calibri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09B">
        <w:rPr>
          <w:rFonts w:ascii="Times New Roman" w:eastAsia="Calibri" w:hAnsi="Times New Roman" w:cs="Times New Roman"/>
          <w:sz w:val="24"/>
          <w:szCs w:val="24"/>
        </w:rPr>
        <w:t>«ЗГРП» составили  40,553 млн. руб.  были направлены на  строительство зданий, приобретения оборудования.</w:t>
      </w:r>
    </w:p>
    <w:p w:rsidR="0020409B" w:rsidRPr="0020409B" w:rsidRDefault="0020409B" w:rsidP="0020409B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sz w:val="24"/>
          <w:szCs w:val="24"/>
        </w:rPr>
        <w:t>Инвестиционный проект «</w:t>
      </w:r>
      <w:r w:rsidRPr="0020409B">
        <w:rPr>
          <w:rFonts w:ascii="Times New Roman" w:eastAsia="Calibri" w:hAnsi="Times New Roman" w:cs="Times New Roman"/>
          <w:bCs/>
          <w:sz w:val="24"/>
          <w:szCs w:val="24"/>
        </w:rPr>
        <w:t>Строительство и эксплуатация горно-перерабатывающего комплекса по отработке запасов участка «Рудная горка» золоторудного месторождения «Троицкое» в Баунтовском эвенкийском районе Республики Бурятия»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409B">
        <w:rPr>
          <w:rFonts w:ascii="Times New Roman" w:eastAsia="Calibri" w:hAnsi="Times New Roman" w:cs="Times New Roman"/>
          <w:bCs/>
          <w:sz w:val="24"/>
          <w:szCs w:val="24"/>
        </w:rPr>
        <w:t>за 12 месяцев2022 года:</w:t>
      </w:r>
    </w:p>
    <w:tbl>
      <w:tblPr>
        <w:tblW w:w="9667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1"/>
        <w:gridCol w:w="1417"/>
        <w:gridCol w:w="1419"/>
      </w:tblGrid>
      <w:tr w:rsidR="0020409B" w:rsidRPr="0020409B" w:rsidTr="00476321">
        <w:trPr>
          <w:trHeight w:val="210"/>
        </w:trPr>
        <w:tc>
          <w:tcPr>
            <w:tcW w:w="6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20409B" w:rsidRPr="0020409B" w:rsidTr="00476321">
        <w:trPr>
          <w:trHeight w:val="273"/>
        </w:trPr>
        <w:tc>
          <w:tcPr>
            <w:tcW w:w="6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0409B" w:rsidRPr="0020409B" w:rsidTr="00476321"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продукции, 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2 045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1478</w:t>
            </w:r>
          </w:p>
        </w:tc>
      </w:tr>
      <w:tr w:rsidR="0020409B" w:rsidRPr="0020409B" w:rsidTr="00476321"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производства продукции, </w:t>
            </w:r>
            <w:proofErr w:type="gramStart"/>
            <w:r w:rsidRPr="0020409B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2040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500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364,2</w:t>
            </w:r>
          </w:p>
        </w:tc>
      </w:tr>
      <w:tr w:rsidR="0020409B" w:rsidRPr="0020409B" w:rsidTr="00476321"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отгруженной продукции, 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2 045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1478</w:t>
            </w:r>
          </w:p>
        </w:tc>
      </w:tr>
      <w:tr w:rsidR="0020409B" w:rsidRPr="0020409B" w:rsidTr="00476321"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результат (прибыль, убыток), 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462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58</w:t>
            </w:r>
          </w:p>
        </w:tc>
      </w:tr>
      <w:tr w:rsidR="0020409B" w:rsidRPr="0020409B" w:rsidTr="00476321"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 среднесписочного состава,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235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212</w:t>
            </w:r>
          </w:p>
        </w:tc>
      </w:tr>
      <w:tr w:rsidR="0020409B" w:rsidRPr="0020409B" w:rsidTr="00476321"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sz w:val="24"/>
                <w:szCs w:val="24"/>
              </w:rPr>
              <w:t>Фонд заработной платы, 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354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344,1</w:t>
            </w:r>
          </w:p>
        </w:tc>
      </w:tr>
      <w:tr w:rsidR="0020409B" w:rsidRPr="0020409B" w:rsidTr="00476321"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125,5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134,0</w:t>
            </w:r>
          </w:p>
        </w:tc>
      </w:tr>
      <w:tr w:rsidR="0020409B" w:rsidRPr="0020409B" w:rsidTr="00476321"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09B" w:rsidRPr="0020409B" w:rsidRDefault="0020409B" w:rsidP="002040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0409B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277,1</w:t>
            </w:r>
          </w:p>
        </w:tc>
      </w:tr>
    </w:tbl>
    <w:p w:rsidR="0020409B" w:rsidRPr="0020409B" w:rsidRDefault="0020409B" w:rsidP="0020409B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0409B" w:rsidRPr="0020409B" w:rsidRDefault="0020409B" w:rsidP="0020409B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</w:rPr>
      </w:pPr>
      <w:r w:rsidRPr="00204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</w:p>
    <w:sectPr w:rsidR="0020409B" w:rsidRPr="0020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009"/>
    <w:multiLevelType w:val="multilevel"/>
    <w:tmpl w:val="52AE4B6E"/>
    <w:styleLink w:val="WW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B7"/>
    <w:rsid w:val="0020409B"/>
    <w:rsid w:val="003260C4"/>
    <w:rsid w:val="007C5DB9"/>
    <w:rsid w:val="00863509"/>
    <w:rsid w:val="00B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409B"/>
    <w:pPr>
      <w:suppressAutoHyphens/>
      <w:autoSpaceDN w:val="0"/>
      <w:textAlignment w:val="baseline"/>
    </w:pPr>
    <w:rPr>
      <w:rFonts w:ascii="Calibri" w:eastAsia="Calibri" w:hAnsi="Calibri" w:cs="F"/>
    </w:rPr>
  </w:style>
  <w:style w:type="numbering" w:customStyle="1" w:styleId="WWNum48">
    <w:name w:val="WWNum48"/>
    <w:basedOn w:val="a2"/>
    <w:rsid w:val="0020409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409B"/>
    <w:pPr>
      <w:suppressAutoHyphens/>
      <w:autoSpaceDN w:val="0"/>
      <w:textAlignment w:val="baseline"/>
    </w:pPr>
    <w:rPr>
      <w:rFonts w:ascii="Calibri" w:eastAsia="Calibri" w:hAnsi="Calibri" w:cs="F"/>
    </w:rPr>
  </w:style>
  <w:style w:type="numbering" w:customStyle="1" w:styleId="WWNum48">
    <w:name w:val="WWNum48"/>
    <w:basedOn w:val="a2"/>
    <w:rsid w:val="0020409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868</Words>
  <Characters>4952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Позолотина</dc:creator>
  <cp:keywords/>
  <dc:description/>
  <cp:lastModifiedBy>Ольга Позолотина</cp:lastModifiedBy>
  <cp:revision>4</cp:revision>
  <dcterms:created xsi:type="dcterms:W3CDTF">2021-08-10T02:04:00Z</dcterms:created>
  <dcterms:modified xsi:type="dcterms:W3CDTF">2023-08-11T08:30:00Z</dcterms:modified>
</cp:coreProperties>
</file>